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Ind w:w="108" w:type="dxa"/>
        <w:tblLook w:val="0000" w:firstRow="0" w:lastRow="0" w:firstColumn="0" w:lastColumn="0" w:noHBand="0" w:noVBand="0"/>
      </w:tblPr>
      <w:tblGrid>
        <w:gridCol w:w="3261"/>
        <w:gridCol w:w="5811"/>
      </w:tblGrid>
      <w:tr w:rsidR="00A350E0">
        <w:trPr>
          <w:trHeight w:val="711"/>
        </w:trPr>
        <w:tc>
          <w:tcPr>
            <w:tcW w:w="3261" w:type="dxa"/>
          </w:tcPr>
          <w:p w:rsidR="00A350E0" w:rsidRDefault="005030E0">
            <w:pPr>
              <w:jc w:val="center"/>
              <w:rPr>
                <w:b/>
                <w:color w:val="000000"/>
                <w:sz w:val="26"/>
              </w:rPr>
            </w:pPr>
            <w:bookmarkStart w:id="0" w:name="_GoBack"/>
            <w:bookmarkEnd w:id="0"/>
            <w:r>
              <w:rPr>
                <w:color w:val="000000"/>
              </w:rPr>
              <w:br w:type="page"/>
            </w:r>
            <w:r>
              <w:rPr>
                <w:color w:val="000000"/>
              </w:rPr>
              <w:br w:type="page"/>
            </w:r>
            <w:r>
              <w:rPr>
                <w:color w:val="000000"/>
              </w:rPr>
              <w:br w:type="page"/>
            </w:r>
            <w:r>
              <w:rPr>
                <w:color w:val="000000"/>
              </w:rPr>
              <w:br w:type="page"/>
            </w:r>
            <w:r>
              <w:rPr>
                <w:b/>
                <w:color w:val="000000"/>
                <w:sz w:val="26"/>
              </w:rPr>
              <w:t>UỶ BAN NHÂN DÂN</w:t>
            </w:r>
          </w:p>
          <w:p w:rsidR="00A350E0" w:rsidRDefault="005030E0">
            <w:pPr>
              <w:jc w:val="center"/>
              <w:rPr>
                <w:b/>
                <w:color w:val="000000"/>
                <w:sz w:val="26"/>
              </w:rPr>
            </w:pPr>
            <w:r>
              <w:rPr>
                <w:b/>
                <w:color w:val="000000"/>
                <w:sz w:val="26"/>
              </w:rPr>
              <w:t>TỈNH THANH HOÁ</w:t>
            </w:r>
          </w:p>
          <w:p w:rsidR="00A350E0" w:rsidRDefault="005030E0">
            <w:pPr>
              <w:rPr>
                <w:color w:val="000000"/>
                <w:sz w:val="10"/>
              </w:rPr>
            </w:pPr>
            <w:r>
              <w:rPr>
                <w:b/>
                <w:noProof/>
                <w:color w:val="000000"/>
              </w:rPr>
              <mc:AlternateContent>
                <mc:Choice Requires="wps">
                  <w:drawing>
                    <wp:anchor distT="0" distB="0" distL="114300" distR="114300" simplePos="0" relativeHeight="251660288" behindDoc="0" locked="0" layoutInCell="1" allowOverlap="1">
                      <wp:simplePos x="0" y="0"/>
                      <wp:positionH relativeFrom="column">
                        <wp:posOffset>660096</wp:posOffset>
                      </wp:positionH>
                      <wp:positionV relativeFrom="paragraph">
                        <wp:posOffset>24765</wp:posOffset>
                      </wp:positionV>
                      <wp:extent cx="576000" cy="0"/>
                      <wp:effectExtent l="0" t="0" r="33655" b="19050"/>
                      <wp:wrapNone/>
                      <wp:docPr id="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7077C8" id="Line 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pt,1.95pt" to="97.3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m6FEQIAACc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"/>
                  </w:pict>
                </mc:Fallback>
              </mc:AlternateContent>
            </w:r>
          </w:p>
        </w:tc>
        <w:tc>
          <w:tcPr>
            <w:tcW w:w="5811" w:type="dxa"/>
          </w:tcPr>
          <w:p w:rsidR="00A350E0" w:rsidRDefault="005030E0">
            <w:pPr>
              <w:pStyle w:val="Heading1"/>
              <w:jc w:val="center"/>
              <w:rPr>
                <w:color w:val="000000"/>
              </w:rPr>
            </w:pPr>
            <w:r>
              <w:rPr>
                <w:color w:val="000000"/>
              </w:rPr>
              <w:t>CỘNG HOÀ XÃ HỘI CHỦ NGHĨA VIỆT NAM</w:t>
            </w:r>
          </w:p>
          <w:p w:rsidR="00A350E0" w:rsidRDefault="005030E0">
            <w:pPr>
              <w:pStyle w:val="Heading1"/>
              <w:jc w:val="center"/>
              <w:rPr>
                <w:color w:val="000000"/>
              </w:rPr>
            </w:pPr>
            <w:r>
              <w:rPr>
                <w:b w:val="0"/>
                <w:noProof/>
                <w:color w:val="000000"/>
                <w:sz w:val="28"/>
              </w:rPr>
              <mc:AlternateContent>
                <mc:Choice Requires="wps">
                  <w:drawing>
                    <wp:anchor distT="0" distB="0" distL="114300" distR="114300" simplePos="0" relativeHeight="251657216" behindDoc="0" locked="0" layoutInCell="1" allowOverlap="1">
                      <wp:simplePos x="0" y="0"/>
                      <wp:positionH relativeFrom="column">
                        <wp:posOffset>712800</wp:posOffset>
                      </wp:positionH>
                      <wp:positionV relativeFrom="paragraph">
                        <wp:posOffset>224790</wp:posOffset>
                      </wp:positionV>
                      <wp:extent cx="2124000" cy="0"/>
                      <wp:effectExtent l="0" t="0" r="29210" b="1905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4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4D8315" id="Line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15pt,17.7pt" to="223.4pt,1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lBvEQIAACgEAAAOAAAAZHJzL2Uyb0RvYy54bWysU02P2jAQvVfqf7B8h3xso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"/>
                  </w:pict>
                </mc:Fallback>
              </mc:AlternateContent>
            </w:r>
            <w:r>
              <w:rPr>
                <w:color w:val="000000"/>
                <w:sz w:val="28"/>
              </w:rPr>
              <w:t>Độc lập - Tự do - Hạnh phúc</w:t>
            </w:r>
          </w:p>
        </w:tc>
      </w:tr>
      <w:tr w:rsidR="00A350E0">
        <w:trPr>
          <w:trHeight w:val="567"/>
        </w:trPr>
        <w:tc>
          <w:tcPr>
            <w:tcW w:w="3261" w:type="dxa"/>
            <w:vAlign w:val="center"/>
          </w:tcPr>
          <w:p w:rsidR="00A350E0" w:rsidRDefault="005030E0">
            <w:pPr>
              <w:pStyle w:val="BodyText"/>
              <w:jc w:val="center"/>
              <w:rPr>
                <w:rFonts w:ascii="Times New Roman" w:hAnsi="Times New Roman"/>
                <w:b/>
                <w:color w:val="000000"/>
                <w:szCs w:val="28"/>
              </w:rPr>
            </w:pPr>
            <w:r>
              <w:rPr>
                <w:rFonts w:ascii="Times New Roman" w:hAnsi="Times New Roman"/>
                <w:color w:val="000000"/>
                <w:sz w:val="26"/>
                <w:szCs w:val="28"/>
              </w:rPr>
              <w:t>Số:       /UBND-CNXDKH</w:t>
            </w:r>
          </w:p>
        </w:tc>
        <w:tc>
          <w:tcPr>
            <w:tcW w:w="5811" w:type="dxa"/>
            <w:vAlign w:val="center"/>
          </w:tcPr>
          <w:p w:rsidR="00A350E0" w:rsidRDefault="005030E0">
            <w:pPr>
              <w:jc w:val="center"/>
              <w:rPr>
                <w:color w:val="000000"/>
              </w:rPr>
            </w:pPr>
            <w:r>
              <w:rPr>
                <w:i/>
                <w:iCs/>
                <w:color w:val="000000"/>
              </w:rPr>
              <w:t>Thanh Hoá, ngày       tháng       năm 2025</w:t>
            </w:r>
          </w:p>
        </w:tc>
      </w:tr>
      <w:tr w:rsidR="00A350E0">
        <w:trPr>
          <w:trHeight w:val="1247"/>
        </w:trPr>
        <w:tc>
          <w:tcPr>
            <w:tcW w:w="3261" w:type="dxa"/>
            <w:vAlign w:val="center"/>
          </w:tcPr>
          <w:p w:rsidR="00A350E0" w:rsidRDefault="005030E0">
            <w:pPr>
              <w:ind w:left="-85" w:right="-85"/>
              <w:jc w:val="both"/>
              <w:rPr>
                <w:spacing w:val="-2"/>
                <w:sz w:val="24"/>
              </w:rPr>
            </w:pPr>
            <w:r>
              <w:rPr>
                <w:spacing w:val="-2"/>
                <w:sz w:val="24"/>
              </w:rPr>
              <w:t>V/v</w:t>
            </w:r>
            <w:r>
              <w:rPr>
                <w:iCs/>
                <w:spacing w:val="-2"/>
                <w:sz w:val="24"/>
              </w:rPr>
              <w:t xml:space="preserve"> hướng tuyến đường ống cấp nước dự án: Xây dựng tuyến ống truyền tải số 03 cấp nước</w:t>
            </w:r>
            <w:r>
              <w:rPr>
                <w:iCs/>
                <w:spacing w:val="-2"/>
                <w:sz w:val="24"/>
              </w:rPr>
              <w:t xml:space="preserve"> phía Đông Nam thành phố Thanh Hóa và thành phố Sầm Sơn (cũ).</w:t>
            </w:r>
          </w:p>
        </w:tc>
        <w:tc>
          <w:tcPr>
            <w:tcW w:w="5811" w:type="dxa"/>
          </w:tcPr>
          <w:p w:rsidR="00A350E0" w:rsidRDefault="00A350E0">
            <w:pPr>
              <w:jc w:val="both"/>
              <w:rPr>
                <w:color w:val="000000"/>
                <w:sz w:val="22"/>
                <w:szCs w:val="22"/>
              </w:rPr>
            </w:pPr>
          </w:p>
        </w:tc>
      </w:tr>
    </w:tbl>
    <w:p w:rsidR="00A350E0" w:rsidRDefault="00A350E0">
      <w:pPr>
        <w:pStyle w:val="BodyTextIndent3"/>
        <w:spacing w:after="0"/>
        <w:ind w:left="0"/>
        <w:rPr>
          <w:rFonts w:ascii="Times New Roman" w:hAnsi="Times New Roman"/>
          <w:bCs/>
          <w:color w:val="000000"/>
          <w:sz w:val="2"/>
          <w:szCs w:val="28"/>
        </w:rPr>
      </w:pPr>
    </w:p>
    <w:p w:rsidR="00A350E0" w:rsidRDefault="005030E0">
      <w:pPr>
        <w:pStyle w:val="BodyTextIndent3"/>
        <w:spacing w:after="0"/>
        <w:ind w:left="0"/>
        <w:jc w:val="center"/>
        <w:rPr>
          <w:rFonts w:ascii="Times New Roman" w:hAnsi="Times New Roman"/>
          <w:bCs/>
          <w:color w:val="000000"/>
          <w:sz w:val="28"/>
          <w:szCs w:val="28"/>
        </w:rPr>
      </w:pPr>
      <w:r>
        <w:rPr>
          <w:rFonts w:ascii="Times New Roman" w:hAnsi="Times New Roman"/>
          <w:bCs/>
          <w:noProof/>
          <w:color w:val="000000"/>
          <w:sz w:val="2"/>
          <w:szCs w:val="28"/>
        </w:rPr>
        <mc:AlternateContent>
          <mc:Choice Requires="wps">
            <w:drawing>
              <wp:anchor distT="0" distB="0" distL="114300" distR="114300" simplePos="0" relativeHeight="251660800" behindDoc="0" locked="0" layoutInCell="1" allowOverlap="1">
                <wp:simplePos x="0" y="0"/>
                <wp:positionH relativeFrom="column">
                  <wp:posOffset>332334</wp:posOffset>
                </wp:positionH>
                <wp:positionV relativeFrom="paragraph">
                  <wp:posOffset>142393</wp:posOffset>
                </wp:positionV>
                <wp:extent cx="935990" cy="287655"/>
                <wp:effectExtent l="0" t="0" r="16510" b="17145"/>
                <wp:wrapNone/>
                <wp:docPr id="3" name="Text Box 3"/>
                <wp:cNvGraphicFramePr/>
                <a:graphic xmlns:a="http://schemas.openxmlformats.org/drawingml/2006/main">
                  <a:graphicData uri="http://schemas.microsoft.com/office/word/2010/wordprocessingShape">
                    <wps:wsp>
                      <wps:cNvSpPr txBox="1"/>
                      <wps:spPr>
                        <a:xfrm>
                          <a:off x="0" y="0"/>
                          <a:ext cx="935990" cy="287655"/>
                        </a:xfrm>
                        <a:prstGeom prst="rect">
                          <a:avLst/>
                        </a:prstGeom>
                        <a:solidFill>
                          <a:schemeClr val="lt1"/>
                        </a:solidFill>
                        <a:ln w="6350">
                          <a:solidFill>
                            <a:prstClr val="black"/>
                          </a:solidFill>
                        </a:ln>
                      </wps:spPr>
                      <wps:txbx>
                        <w:txbxContent>
                          <w:p w:rsidR="00A350E0" w:rsidRDefault="005030E0">
                            <w:pPr>
                              <w:jc w:val="center"/>
                              <w:rPr>
                                <w:b/>
                                <w:sz w:val="24"/>
                              </w:rPr>
                            </w:pPr>
                            <w:r>
                              <w:rPr>
                                <w:b/>
                                <w:sz w:val="24"/>
                              </w:rPr>
                              <w:t>DỰ THẢO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26.15pt;margin-top:11.2pt;width:73.7pt;height:22.6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" fillcolor="white [3201]" strokeweight=".5pt">
                <v:textbox>
                  <w:txbxContent>
                    <w:p w:rsidR="00A350E0" w:rsidRDefault="005030E0">
                      <w:pPr>
                        <w:jc w:val="center"/>
                        <w:rPr>
                          <w:b/>
                          <w:sz w:val="24"/>
                        </w:rPr>
                      </w:pPr>
                      <w:r>
                        <w:rPr>
                          <w:b/>
                          <w:sz w:val="24"/>
                        </w:rPr>
                        <w:t>DỰ THẢO</w:t>
                      </w:r>
                    </w:p>
                  </w:txbxContent>
                </v:textbox>
              </v:shape>
            </w:pict>
          </mc:Fallback>
        </mc:AlternateContent>
      </w:r>
    </w:p>
    <w:p w:rsidR="00A350E0" w:rsidRDefault="00A350E0">
      <w:pPr>
        <w:pStyle w:val="BodyTextIndent3"/>
        <w:spacing w:after="0"/>
        <w:ind w:left="0"/>
        <w:jc w:val="center"/>
        <w:rPr>
          <w:rFonts w:ascii="Times New Roman" w:hAnsi="Times New Roman"/>
          <w:bCs/>
          <w:color w:val="000000"/>
          <w:sz w:val="28"/>
          <w:szCs w:val="28"/>
        </w:rPr>
      </w:pPr>
    </w:p>
    <w:p w:rsidR="00A350E0" w:rsidRDefault="00A350E0">
      <w:pPr>
        <w:pStyle w:val="BodyTextIndent3"/>
        <w:spacing w:after="0"/>
        <w:ind w:left="0"/>
        <w:jc w:val="center"/>
        <w:rPr>
          <w:rFonts w:ascii="Times New Roman" w:hAnsi="Times New Roman"/>
          <w:bCs/>
          <w:color w:val="000000"/>
          <w:sz w:val="28"/>
          <w:szCs w:val="28"/>
        </w:rPr>
      </w:pPr>
    </w:p>
    <w:p w:rsidR="00A350E0" w:rsidRDefault="005030E0">
      <w:pPr>
        <w:pStyle w:val="BodyTextIndent3"/>
        <w:spacing w:after="0"/>
        <w:ind w:left="1985"/>
        <w:rPr>
          <w:rFonts w:ascii="Times New Roman" w:hAnsi="Times New Roman"/>
          <w:bCs/>
          <w:color w:val="000000"/>
          <w:sz w:val="28"/>
          <w:szCs w:val="28"/>
        </w:rPr>
      </w:pPr>
      <w:r>
        <w:rPr>
          <w:rFonts w:ascii="Times New Roman" w:hAnsi="Times New Roman"/>
          <w:bCs/>
          <w:color w:val="000000"/>
          <w:sz w:val="28"/>
          <w:szCs w:val="28"/>
        </w:rPr>
        <w:t>Kính gửi:</w:t>
      </w:r>
    </w:p>
    <w:p w:rsidR="00A350E0" w:rsidRDefault="005030E0">
      <w:pPr>
        <w:pStyle w:val="BodyTextIndent3"/>
        <w:spacing w:after="0"/>
        <w:ind w:left="3119"/>
        <w:jc w:val="both"/>
        <w:rPr>
          <w:rFonts w:ascii="Times New Roman" w:hAnsi="Times New Roman"/>
          <w:bCs/>
          <w:color w:val="000000"/>
          <w:sz w:val="28"/>
          <w:szCs w:val="28"/>
        </w:rPr>
      </w:pPr>
      <w:r>
        <w:rPr>
          <w:rFonts w:ascii="Times New Roman" w:hAnsi="Times New Roman"/>
          <w:bCs/>
          <w:color w:val="000000"/>
          <w:sz w:val="28"/>
          <w:szCs w:val="28"/>
        </w:rPr>
        <w:t>- Các sở: Xây dựng, Tài chính, Nông nghiệp và Môi trường;</w:t>
      </w:r>
    </w:p>
    <w:p w:rsidR="00A350E0" w:rsidRDefault="005030E0">
      <w:pPr>
        <w:pStyle w:val="BodyTextIndent3"/>
        <w:spacing w:after="0"/>
        <w:ind w:left="3119"/>
        <w:jc w:val="both"/>
        <w:rPr>
          <w:rFonts w:ascii="Times New Roman" w:hAnsi="Times New Roman"/>
          <w:bCs/>
          <w:color w:val="000000"/>
          <w:sz w:val="28"/>
          <w:szCs w:val="28"/>
        </w:rPr>
      </w:pPr>
      <w:r>
        <w:rPr>
          <w:rFonts w:ascii="Times New Roman" w:hAnsi="Times New Roman"/>
          <w:bCs/>
          <w:color w:val="000000"/>
          <w:sz w:val="28"/>
          <w:szCs w:val="28"/>
        </w:rPr>
        <w:t>- UBND các xã, phường: Hạc Thành, Đông Quang, Quảng Phú, Sầm Sơn, Nam Sầm Sơn, Lưu Vệ;</w:t>
      </w:r>
    </w:p>
    <w:p w:rsidR="00A350E0" w:rsidRDefault="005030E0">
      <w:pPr>
        <w:pStyle w:val="BodyTextIndent3"/>
        <w:spacing w:after="0"/>
        <w:ind w:left="3119"/>
        <w:jc w:val="both"/>
        <w:rPr>
          <w:rFonts w:ascii="Times New Roman" w:hAnsi="Times New Roman"/>
          <w:bCs/>
          <w:color w:val="000000"/>
          <w:sz w:val="28"/>
          <w:szCs w:val="28"/>
        </w:rPr>
      </w:pPr>
      <w:r>
        <w:rPr>
          <w:rFonts w:ascii="Times New Roman" w:hAnsi="Times New Roman"/>
          <w:bCs/>
          <w:color w:val="000000"/>
          <w:sz w:val="28"/>
          <w:szCs w:val="28"/>
        </w:rPr>
        <w:t xml:space="preserve">- Công ty TNHH MTV </w:t>
      </w:r>
      <w:r>
        <w:rPr>
          <w:rFonts w:ascii="Times New Roman" w:hAnsi="Times New Roman"/>
          <w:bCs/>
          <w:color w:val="000000"/>
          <w:sz w:val="28"/>
          <w:szCs w:val="28"/>
        </w:rPr>
        <w:t>Sông Chu;</w:t>
      </w:r>
    </w:p>
    <w:p w:rsidR="00A350E0" w:rsidRDefault="005030E0">
      <w:pPr>
        <w:pStyle w:val="BodyTextIndent3"/>
        <w:spacing w:after="0"/>
        <w:ind w:left="3119"/>
        <w:jc w:val="both"/>
        <w:rPr>
          <w:rFonts w:ascii="Times New Roman" w:hAnsi="Times New Roman"/>
          <w:bCs/>
          <w:color w:val="000000"/>
          <w:sz w:val="28"/>
          <w:szCs w:val="28"/>
        </w:rPr>
      </w:pPr>
      <w:r>
        <w:rPr>
          <w:rFonts w:ascii="Times New Roman" w:hAnsi="Times New Roman"/>
          <w:bCs/>
          <w:color w:val="000000"/>
          <w:sz w:val="28"/>
          <w:szCs w:val="28"/>
        </w:rPr>
        <w:t>- Công ty Cổ phần cấp nước Thanh Hóa.</w:t>
      </w:r>
    </w:p>
    <w:p w:rsidR="00A350E0" w:rsidRDefault="00A350E0">
      <w:pPr>
        <w:pStyle w:val="BodyTextIndent3"/>
        <w:spacing w:after="0"/>
        <w:ind w:left="0"/>
        <w:jc w:val="both"/>
        <w:rPr>
          <w:rFonts w:ascii="Times New Roman" w:hAnsi="Times New Roman"/>
          <w:bCs/>
          <w:color w:val="000000"/>
          <w:sz w:val="28"/>
          <w:szCs w:val="28"/>
        </w:rPr>
      </w:pPr>
    </w:p>
    <w:p w:rsidR="00A350E0" w:rsidRDefault="00A350E0">
      <w:pPr>
        <w:pStyle w:val="BodyTextIndent3"/>
        <w:spacing w:after="0"/>
        <w:ind w:left="0"/>
        <w:jc w:val="center"/>
        <w:rPr>
          <w:rFonts w:ascii="Times New Roman" w:hAnsi="Times New Roman"/>
          <w:bCs/>
          <w:color w:val="000000"/>
          <w:sz w:val="28"/>
          <w:szCs w:val="28"/>
        </w:rPr>
      </w:pPr>
    </w:p>
    <w:p w:rsidR="00A350E0" w:rsidRDefault="005030E0">
      <w:pPr>
        <w:pStyle w:val="BodyText2"/>
        <w:spacing w:before="120" w:after="120" w:line="340" w:lineRule="exact"/>
        <w:ind w:firstLine="697"/>
        <w:rPr>
          <w:rFonts w:ascii="Times New Roman" w:hAnsi="Times New Roman"/>
          <w:spacing w:val="-2"/>
          <w:szCs w:val="28"/>
        </w:rPr>
      </w:pPr>
      <w:r>
        <w:rPr>
          <w:rFonts w:ascii="Times New Roman" w:hAnsi="Times New Roman"/>
          <w:spacing w:val="-2"/>
          <w:szCs w:val="28"/>
        </w:rPr>
        <w:t xml:space="preserve">Ủy ban nhân dân tỉnh </w:t>
      </w:r>
      <w:r>
        <w:rPr>
          <w:rFonts w:ascii="Times New Roman" w:hAnsi="Times New Roman"/>
          <w:szCs w:val="28"/>
        </w:rPr>
        <w:t xml:space="preserve">nhận được Công văn số 669/TTr-CNTH ngày 30/12/2025 của Công ty Cổ phần Cấp nước Thanh Hóa về việc chấp thuận hướng tuyến đường ống cấp nước dự án: Xây dựng tuyến ống truyền tải số 03 </w:t>
      </w:r>
      <w:r>
        <w:rPr>
          <w:rFonts w:ascii="Times New Roman" w:hAnsi="Times New Roman"/>
          <w:szCs w:val="28"/>
        </w:rPr>
        <w:t>cấp nước phía Đông Nam thành phố Thanh Hóa và thành phố Sầm Sơn (cũ). Trên cơ sở tham mưu, báo cáo của Sở Xây dựng, UBND</w:t>
      </w:r>
      <w:r>
        <w:rPr>
          <w:rFonts w:ascii="Times New Roman" w:hAnsi="Times New Roman"/>
          <w:spacing w:val="-2"/>
          <w:szCs w:val="28"/>
        </w:rPr>
        <w:t xml:space="preserve"> tỉnh có ý kiến chỉ đạo như sau: </w:t>
      </w:r>
    </w:p>
    <w:p w:rsidR="00A350E0" w:rsidRDefault="005030E0">
      <w:pPr>
        <w:pStyle w:val="BodyText2"/>
        <w:spacing w:before="120" w:after="120" w:line="340" w:lineRule="exact"/>
        <w:ind w:firstLine="697"/>
        <w:rPr>
          <w:rFonts w:ascii="Times New Roman" w:hAnsi="Times New Roman"/>
          <w:szCs w:val="28"/>
        </w:rPr>
      </w:pPr>
      <w:r>
        <w:rPr>
          <w:rFonts w:ascii="Times New Roman" w:hAnsi="Times New Roman"/>
          <w:szCs w:val="28"/>
        </w:rPr>
        <w:t>Thống nhất với đề xuất của Sở Xây dựng tại Công văn số …/SXD-QLHT ngày …../..../2026, cụ thể:</w:t>
      </w:r>
    </w:p>
    <w:p w:rsidR="00A350E0" w:rsidRDefault="005030E0">
      <w:pPr>
        <w:pStyle w:val="BodyText2"/>
        <w:spacing w:before="120" w:after="120" w:line="340" w:lineRule="exact"/>
        <w:ind w:firstLine="697"/>
        <w:rPr>
          <w:rFonts w:ascii="Times New Roman" w:hAnsi="Times New Roman"/>
          <w:szCs w:val="28"/>
        </w:rPr>
      </w:pPr>
      <w:r>
        <w:rPr>
          <w:rFonts w:ascii="Times New Roman" w:hAnsi="Times New Roman"/>
          <w:szCs w:val="28"/>
        </w:rPr>
        <w:t xml:space="preserve">1. Chấp </w:t>
      </w:r>
      <w:r>
        <w:rPr>
          <w:rFonts w:ascii="Times New Roman" w:hAnsi="Times New Roman"/>
          <w:szCs w:val="28"/>
        </w:rPr>
        <w:t>thuận hướng tuyến đường ống cấp nước dự án Xây dựng tuyến ống truyền tải số 03 cấp nước phía Đông Nam thành phố Thanh Hóa và thành phố Sầm Sơn (cũ), với tổng chiều dài khoảng 17.641m, cụ thể:</w:t>
      </w:r>
    </w:p>
    <w:p w:rsidR="00A350E0" w:rsidRDefault="005030E0">
      <w:pPr>
        <w:pStyle w:val="BodyText2"/>
        <w:spacing w:before="120" w:after="120" w:line="340" w:lineRule="exact"/>
        <w:ind w:firstLine="697"/>
        <w:rPr>
          <w:rFonts w:ascii="Times New Roman" w:hAnsi="Times New Roman"/>
          <w:szCs w:val="28"/>
        </w:rPr>
      </w:pPr>
      <w:r>
        <w:rPr>
          <w:rFonts w:ascii="Times New Roman" w:hAnsi="Times New Roman"/>
          <w:szCs w:val="28"/>
        </w:rPr>
        <w:t>- Đoạn 1: Chiều dài khoảng L=6.424m, đường kính ống DN600. Tuyến</w:t>
      </w:r>
      <w:r>
        <w:rPr>
          <w:rFonts w:ascii="Times New Roman" w:hAnsi="Times New Roman"/>
          <w:szCs w:val="28"/>
        </w:rPr>
        <w:t xml:space="preserve"> ống đấu nối từ Nhà máy nước Mật Sơn đi dọc theo bên trái tuyến kênh nhà Lê đến đập tràn chợ Nhàng.</w:t>
      </w:r>
    </w:p>
    <w:p w:rsidR="00A350E0" w:rsidRDefault="005030E0">
      <w:pPr>
        <w:pStyle w:val="BodyText2"/>
        <w:spacing w:before="120" w:after="120" w:line="340" w:lineRule="exact"/>
        <w:ind w:firstLine="697"/>
        <w:rPr>
          <w:rFonts w:ascii="Times New Roman" w:hAnsi="Times New Roman"/>
          <w:szCs w:val="28"/>
        </w:rPr>
      </w:pPr>
      <w:r>
        <w:rPr>
          <w:rFonts w:ascii="Times New Roman" w:hAnsi="Times New Roman"/>
          <w:szCs w:val="28"/>
        </w:rPr>
        <w:t xml:space="preserve">- Đoạn 2: Chiều dài khoảng L=4.278m, đường kính ống DN600. Tuyến ống từ đập tràn chợ Nhàng đi dọc theo bên phải tuyến kênh nhà Lê đến tuyến đường nhựa hiện </w:t>
      </w:r>
      <w:r>
        <w:rPr>
          <w:rFonts w:ascii="Times New Roman" w:hAnsi="Times New Roman"/>
          <w:szCs w:val="28"/>
        </w:rPr>
        <w:t>trạng vào Công viên Minh Sơn.</w:t>
      </w:r>
    </w:p>
    <w:p w:rsidR="00A350E0" w:rsidRDefault="005030E0">
      <w:pPr>
        <w:pStyle w:val="BodyText2"/>
        <w:spacing w:before="120" w:after="120" w:line="340" w:lineRule="exact"/>
        <w:ind w:firstLine="697"/>
        <w:rPr>
          <w:rFonts w:ascii="Times New Roman" w:hAnsi="Times New Roman"/>
          <w:szCs w:val="28"/>
        </w:rPr>
      </w:pPr>
      <w:r>
        <w:rPr>
          <w:rFonts w:ascii="Times New Roman" w:hAnsi="Times New Roman"/>
          <w:szCs w:val="28"/>
        </w:rPr>
        <w:t xml:space="preserve">- Đoạn 3: Chiều dài khoảng L=420m, đường kính ống DN600. Tuyến ống chạy dọc theo vỉa hè bên trái tuyến đường nhựa hiện trạng (hướng tuyến từ đường ngã Ba Voi đi Sầm Sơn đi vào Công viên Minh Sơn) đến tuyến đường từ ngã Ba Voi </w:t>
      </w:r>
      <w:r>
        <w:rPr>
          <w:rFonts w:ascii="Times New Roman" w:hAnsi="Times New Roman"/>
          <w:szCs w:val="28"/>
        </w:rPr>
        <w:t>đi Sầm Sơn.</w:t>
      </w:r>
    </w:p>
    <w:p w:rsidR="00A350E0" w:rsidRDefault="005030E0">
      <w:pPr>
        <w:pStyle w:val="BodyText2"/>
        <w:spacing w:before="120" w:after="120" w:line="340" w:lineRule="exact"/>
        <w:ind w:firstLine="697"/>
        <w:rPr>
          <w:rFonts w:ascii="Times New Roman" w:hAnsi="Times New Roman"/>
          <w:szCs w:val="28"/>
        </w:rPr>
      </w:pPr>
      <w:r>
        <w:rPr>
          <w:rFonts w:ascii="Times New Roman" w:hAnsi="Times New Roman"/>
          <w:szCs w:val="28"/>
        </w:rPr>
        <w:lastRenderedPageBreak/>
        <w:t>- Đoạn 4: Chiều dài khoảng L=1.109m, đường kính ống DN500. Tuyến ống đi dọc theo vỉa hè quy hoạch bên phải tuyến đường từ ngã Ba Voi đi Sầm Sơn đến nút giao với ĐT.511.</w:t>
      </w:r>
    </w:p>
    <w:p w:rsidR="00A350E0" w:rsidRDefault="005030E0">
      <w:pPr>
        <w:pStyle w:val="BodyText2"/>
        <w:spacing w:before="120" w:after="120" w:line="340" w:lineRule="exact"/>
        <w:ind w:firstLine="697"/>
        <w:rPr>
          <w:rFonts w:ascii="Times New Roman" w:hAnsi="Times New Roman"/>
          <w:szCs w:val="28"/>
        </w:rPr>
      </w:pPr>
      <w:r>
        <w:rPr>
          <w:rFonts w:ascii="Times New Roman" w:hAnsi="Times New Roman"/>
          <w:szCs w:val="28"/>
        </w:rPr>
        <w:t>- Đoạn 5: Chiều dài khoảng L=2.803m, đường kính ống DN500. Tuyến ống từ nút</w:t>
      </w:r>
      <w:r>
        <w:rPr>
          <w:rFonts w:ascii="Times New Roman" w:hAnsi="Times New Roman"/>
          <w:szCs w:val="28"/>
        </w:rPr>
        <w:t xml:space="preserve"> giao với ĐT.511 đi dọc theo vỉa hè quy hoạch bên trái tuyến đường từ ngã Ba Voi đi Sầm Sơn đến nút giao với đường ven biển.</w:t>
      </w:r>
    </w:p>
    <w:p w:rsidR="00A350E0" w:rsidRDefault="005030E0">
      <w:pPr>
        <w:pStyle w:val="BodyText2"/>
        <w:spacing w:before="120" w:after="120" w:line="340" w:lineRule="exact"/>
        <w:ind w:firstLine="697"/>
        <w:rPr>
          <w:rFonts w:ascii="Times New Roman" w:hAnsi="Times New Roman"/>
          <w:szCs w:val="28"/>
        </w:rPr>
      </w:pPr>
      <w:r>
        <w:rPr>
          <w:rFonts w:ascii="Times New Roman" w:hAnsi="Times New Roman"/>
          <w:szCs w:val="28"/>
        </w:rPr>
        <w:t>- Đoạn 6: Chiều dài khoảng L=2.607m, đường kính ống DN450. Tuyến ống từ nút giao với đường từ ngã Ba Voi đi Sầm Sơn đi dọc theo vỉa</w:t>
      </w:r>
      <w:r>
        <w:rPr>
          <w:rFonts w:ascii="Times New Roman" w:hAnsi="Times New Roman"/>
          <w:szCs w:val="28"/>
        </w:rPr>
        <w:t xml:space="preserve"> hè bên trái tuyến đường ven biển đến nút giao với tuyến QL.47 và đối nối vào tuyến ống hiện trạng.</w:t>
      </w:r>
    </w:p>
    <w:p w:rsidR="00A350E0" w:rsidRDefault="005030E0">
      <w:pPr>
        <w:pStyle w:val="BodyText2"/>
        <w:spacing w:before="120" w:after="120" w:line="340" w:lineRule="exact"/>
        <w:ind w:firstLine="697"/>
        <w:rPr>
          <w:rFonts w:ascii="Times New Roman" w:hAnsi="Times New Roman"/>
          <w:szCs w:val="28"/>
        </w:rPr>
      </w:pPr>
      <w:r>
        <w:rPr>
          <w:rFonts w:ascii="Times New Roman" w:hAnsi="Times New Roman"/>
          <w:szCs w:val="28"/>
        </w:rPr>
        <w:t>2. Công ty Cổ phần cấp nước Thanh Hóa có trách nhiệm:</w:t>
      </w:r>
    </w:p>
    <w:p w:rsidR="00A350E0" w:rsidRDefault="005030E0">
      <w:pPr>
        <w:pStyle w:val="BodyText2"/>
        <w:spacing w:before="120" w:after="120" w:line="340" w:lineRule="exact"/>
        <w:ind w:firstLine="697"/>
        <w:rPr>
          <w:rFonts w:ascii="Times New Roman" w:hAnsi="Times New Roman"/>
          <w:szCs w:val="28"/>
        </w:rPr>
      </w:pPr>
      <w:r>
        <w:rPr>
          <w:rFonts w:ascii="Times New Roman" w:hAnsi="Times New Roman"/>
          <w:szCs w:val="28"/>
        </w:rPr>
        <w:t>- Phối hợp với UBND các địa phương nơi dự án đi qua và các sở, ngành, đơn vị liên quan, cập nhật hướng</w:t>
      </w:r>
      <w:r>
        <w:rPr>
          <w:rFonts w:ascii="Times New Roman" w:hAnsi="Times New Roman"/>
          <w:szCs w:val="28"/>
        </w:rPr>
        <w:t xml:space="preserve"> tuyến dự án vào các quy hoạch có liên quan (quy hoạch xây dựng, quy hoạch sử dụng đất...), trình cấp có thẩm quyền phê duyệt, đảm bảo tính thống nhất với các quy hoạch cấp trên đã được cấp có thẩm quyền phê duyệt.</w:t>
      </w:r>
    </w:p>
    <w:p w:rsidR="00A350E0" w:rsidRDefault="005030E0">
      <w:pPr>
        <w:pStyle w:val="BodyText2"/>
        <w:spacing w:before="120" w:after="120" w:line="340" w:lineRule="exact"/>
        <w:ind w:firstLine="697"/>
        <w:rPr>
          <w:rFonts w:ascii="Times New Roman" w:hAnsi="Times New Roman"/>
          <w:szCs w:val="28"/>
        </w:rPr>
      </w:pPr>
      <w:r>
        <w:rPr>
          <w:rFonts w:ascii="Times New Roman" w:hAnsi="Times New Roman"/>
          <w:szCs w:val="28"/>
        </w:rPr>
        <w:t>- Hoàn trả các công trình hạ tầng kỹ thuậ</w:t>
      </w:r>
      <w:r>
        <w:rPr>
          <w:rFonts w:ascii="Times New Roman" w:hAnsi="Times New Roman"/>
          <w:szCs w:val="28"/>
        </w:rPr>
        <w:t>t hiện trạng bị ảnh hưởng do việc thi công tuyến đường ống.</w:t>
      </w:r>
    </w:p>
    <w:p w:rsidR="00A350E0" w:rsidRDefault="005030E0">
      <w:pPr>
        <w:pStyle w:val="BodyText2"/>
        <w:spacing w:before="120" w:after="120" w:line="340" w:lineRule="exact"/>
        <w:ind w:firstLine="697"/>
        <w:rPr>
          <w:rFonts w:ascii="Times New Roman" w:hAnsi="Times New Roman"/>
          <w:szCs w:val="28"/>
        </w:rPr>
      </w:pPr>
      <w:r>
        <w:rPr>
          <w:rFonts w:ascii="Times New Roman" w:hAnsi="Times New Roman"/>
          <w:szCs w:val="28"/>
        </w:rPr>
        <w:t xml:space="preserve">- Đối với những đoạn tuyến chưa có trong quy hoạch hoặc chưa phù hợp với quy hoạch đã được phê duyệt, khi nhà nước tiến hành mở rộng, nâng cấp các tuyến giao thông hiện trạng, đầu tư xây dựng mới </w:t>
      </w:r>
      <w:r>
        <w:rPr>
          <w:rFonts w:ascii="Times New Roman" w:hAnsi="Times New Roman"/>
          <w:szCs w:val="28"/>
        </w:rPr>
        <w:t xml:space="preserve">các tuyến giao thông theo quy hoạch được duyệt hoặc các công trình hạ tầng kỹ thuật khác mà bị ảnh hướng bởi tuyến ống của dự án, Công ty Cổ phần cấp nước Thanh Hóa cam kết tự thực hiện việc di dời, tháo dỡ công trình bằng nguồn kinh phí của doanh nghiệp, </w:t>
      </w:r>
      <w:r>
        <w:rPr>
          <w:rFonts w:ascii="Times New Roman" w:hAnsi="Times New Roman"/>
          <w:szCs w:val="28"/>
        </w:rPr>
        <w:t>không được yêu cầu bồi thường, hỗ trợ từ nguồn ngân sách nhà nước và phải đảm bảo phương án cấp nước liên tục, không ảnh hưởng đến hoạt động sản xuất, kinh doanh các các dự án khác trong phạm vị cấp nước đã được chấp thuận. Thời gian hoàn thành di dời, giả</w:t>
      </w:r>
      <w:r>
        <w:rPr>
          <w:rFonts w:ascii="Times New Roman" w:hAnsi="Times New Roman"/>
          <w:szCs w:val="28"/>
        </w:rPr>
        <w:t>i phóng mặt bằng chậm nhất trong thời hạn 03 tháng kể từ ngày nhận được văn bản yêu cầu di dời của cơ quan nhà nước có thẩm quyền.</w:t>
      </w:r>
    </w:p>
    <w:p w:rsidR="00A350E0" w:rsidRDefault="005030E0">
      <w:pPr>
        <w:pStyle w:val="BodyText2"/>
        <w:spacing w:before="120" w:after="120" w:line="340" w:lineRule="exact"/>
        <w:ind w:firstLine="697"/>
        <w:rPr>
          <w:rFonts w:ascii="Times New Roman" w:hAnsi="Times New Roman"/>
          <w:spacing w:val="-6"/>
          <w:szCs w:val="28"/>
        </w:rPr>
      </w:pPr>
      <w:r>
        <w:rPr>
          <w:rFonts w:ascii="Times New Roman" w:hAnsi="Times New Roman"/>
          <w:spacing w:val="-6"/>
          <w:szCs w:val="28"/>
        </w:rPr>
        <w:t>- Phối hợp với các cơ quan quản lý nhà nước, các đơn vị quản lý các công trình bị ảnh hưởng bởi dự án để triển khai thực hiện</w:t>
      </w:r>
      <w:r>
        <w:rPr>
          <w:rFonts w:ascii="Times New Roman" w:hAnsi="Times New Roman"/>
          <w:spacing w:val="-6"/>
          <w:szCs w:val="28"/>
        </w:rPr>
        <w:t xml:space="preserve"> và hoàn thành đầy đủ các hồ sơ, thủ tục có liên quan đến dự án, trình cơ quan có thẩm quyền phê duyệt, thỏa thuận theo quy định trước khi thi công xây dựng dự án; chỉ được triển khai xây dựng dự án sau khi hoàn thành đầy đủ các hồ sơ, thủ tục theo quy địn</w:t>
      </w:r>
      <w:r>
        <w:rPr>
          <w:rFonts w:ascii="Times New Roman" w:hAnsi="Times New Roman"/>
          <w:spacing w:val="-6"/>
          <w:szCs w:val="28"/>
        </w:rPr>
        <w:t>h của pháp luật.</w:t>
      </w:r>
    </w:p>
    <w:p w:rsidR="00A350E0" w:rsidRDefault="005030E0">
      <w:pPr>
        <w:pStyle w:val="BodyText2"/>
        <w:spacing w:before="120" w:after="120" w:line="340" w:lineRule="exact"/>
        <w:ind w:firstLine="697"/>
        <w:rPr>
          <w:rFonts w:ascii="Times New Roman" w:hAnsi="Times New Roman"/>
          <w:bCs/>
          <w:color w:val="000000"/>
          <w:szCs w:val="28"/>
        </w:rPr>
      </w:pPr>
      <w:r>
        <w:rPr>
          <w:rFonts w:ascii="Times New Roman" w:hAnsi="Times New Roman"/>
          <w:szCs w:val="28"/>
        </w:rPr>
        <w:t xml:space="preserve">3. </w:t>
      </w:r>
      <w:r>
        <w:rPr>
          <w:rFonts w:ascii="Times New Roman" w:hAnsi="Times New Roman"/>
          <w:bCs/>
          <w:color w:val="000000"/>
          <w:szCs w:val="28"/>
        </w:rPr>
        <w:t>Giao các Sở: Xây dựng, Tài chính, Nông nghiệp và Môi trường</w:t>
      </w:r>
      <w:r>
        <w:rPr>
          <w:rFonts w:ascii="Times New Roman" w:hAnsi="Times New Roman"/>
          <w:szCs w:val="28"/>
        </w:rPr>
        <w:t xml:space="preserve">; UBND các xã, phường: </w:t>
      </w:r>
      <w:r>
        <w:rPr>
          <w:rFonts w:ascii="Times New Roman" w:hAnsi="Times New Roman"/>
          <w:bCs/>
          <w:color w:val="000000"/>
          <w:szCs w:val="28"/>
        </w:rPr>
        <w:t>Hạc Thành, Đông Quang, Quảng Phú, Sầm Sơn, Nam Sầm Sơn, Lưu Vệ;</w:t>
      </w:r>
      <w:r>
        <w:rPr>
          <w:rFonts w:ascii="Times New Roman" w:hAnsi="Times New Roman"/>
          <w:szCs w:val="28"/>
        </w:rPr>
        <w:t xml:space="preserve"> Công ty TNHH MTV Sông </w:t>
      </w:r>
      <w:r>
        <w:rPr>
          <w:rFonts w:ascii="Times New Roman" w:hAnsi="Times New Roman"/>
          <w:bCs/>
          <w:color w:val="000000"/>
          <w:szCs w:val="28"/>
        </w:rPr>
        <w:t xml:space="preserve">Chu căn cứ chức năng, nhiệm vụ được giao, có trách nhiệm hướng dẫn, </w:t>
      </w:r>
      <w:r>
        <w:rPr>
          <w:rFonts w:ascii="Times New Roman" w:hAnsi="Times New Roman"/>
          <w:bCs/>
          <w:color w:val="000000"/>
          <w:szCs w:val="28"/>
        </w:rPr>
        <w:t xml:space="preserve">hỗ trợ, giải quyết kịp thời những công việc liên </w:t>
      </w:r>
      <w:r>
        <w:rPr>
          <w:rFonts w:ascii="Times New Roman" w:hAnsi="Times New Roman"/>
          <w:bCs/>
          <w:color w:val="000000"/>
          <w:szCs w:val="28"/>
        </w:rPr>
        <w:lastRenderedPageBreak/>
        <w:t>quan đến dự án trên theo đúng quy định hiện hành của pháp luật; báo cáo, đề xuất với Chủ tịch UBND tỉnh những nội dung vượt thẩm quyền./.</w:t>
      </w:r>
    </w:p>
    <w:tbl>
      <w:tblPr>
        <w:tblW w:w="9022" w:type="dxa"/>
        <w:tblInd w:w="108" w:type="dxa"/>
        <w:tblLook w:val="01E0" w:firstRow="1" w:lastRow="1" w:firstColumn="1" w:lastColumn="1" w:noHBand="0" w:noVBand="0"/>
      </w:tblPr>
      <w:tblGrid>
        <w:gridCol w:w="4794"/>
        <w:gridCol w:w="4228"/>
      </w:tblGrid>
      <w:tr w:rsidR="00A350E0">
        <w:trPr>
          <w:trHeight w:val="2438"/>
        </w:trPr>
        <w:tc>
          <w:tcPr>
            <w:tcW w:w="4794" w:type="dxa"/>
          </w:tcPr>
          <w:p w:rsidR="00A350E0" w:rsidRDefault="005030E0">
            <w:pPr>
              <w:ind w:left="-113"/>
              <w:rPr>
                <w:b/>
                <w:i/>
                <w:iCs/>
                <w:color w:val="000000"/>
                <w:sz w:val="24"/>
              </w:rPr>
            </w:pPr>
            <w:r>
              <w:rPr>
                <w:b/>
                <w:i/>
                <w:iCs/>
                <w:color w:val="000000"/>
                <w:sz w:val="24"/>
              </w:rPr>
              <w:t>Nơi nhận:</w:t>
            </w:r>
          </w:p>
          <w:p w:rsidR="00A350E0" w:rsidRDefault="005030E0">
            <w:pPr>
              <w:ind w:left="-113"/>
              <w:rPr>
                <w:color w:val="000000"/>
                <w:sz w:val="22"/>
              </w:rPr>
            </w:pPr>
            <w:r>
              <w:rPr>
                <w:color w:val="000000"/>
                <w:sz w:val="22"/>
              </w:rPr>
              <w:t>-</w:t>
            </w:r>
            <w:r>
              <w:rPr>
                <w:color w:val="000000"/>
              </w:rPr>
              <w:t xml:space="preserve"> </w:t>
            </w:r>
            <w:r>
              <w:rPr>
                <w:color w:val="000000"/>
                <w:sz w:val="22"/>
              </w:rPr>
              <w:t>Như trên;</w:t>
            </w:r>
          </w:p>
          <w:p w:rsidR="00A350E0" w:rsidRDefault="005030E0">
            <w:pPr>
              <w:ind w:left="-113"/>
              <w:rPr>
                <w:color w:val="000000"/>
                <w:sz w:val="22"/>
              </w:rPr>
            </w:pPr>
            <w:r>
              <w:rPr>
                <w:color w:val="000000"/>
                <w:sz w:val="22"/>
              </w:rPr>
              <w:t>- Chủ tịch UBND tỉnh (để b/cáo);</w:t>
            </w:r>
          </w:p>
          <w:p w:rsidR="00A350E0" w:rsidRDefault="005030E0">
            <w:pPr>
              <w:ind w:left="-113"/>
              <w:rPr>
                <w:color w:val="000000"/>
                <w:sz w:val="22"/>
              </w:rPr>
            </w:pPr>
            <w:r>
              <w:rPr>
                <w:color w:val="000000"/>
                <w:sz w:val="22"/>
              </w:rPr>
              <w:t>- CVP, PCVP UB</w:t>
            </w:r>
            <w:r>
              <w:rPr>
                <w:color w:val="000000"/>
                <w:sz w:val="22"/>
              </w:rPr>
              <w:t>ND tỉnh Lê Việt Hiếu;</w:t>
            </w:r>
          </w:p>
          <w:p w:rsidR="00A350E0" w:rsidRDefault="005030E0">
            <w:pPr>
              <w:ind w:left="-113"/>
              <w:rPr>
                <w:color w:val="000000"/>
              </w:rPr>
            </w:pPr>
            <w:r>
              <w:rPr>
                <w:color w:val="000000"/>
                <w:sz w:val="22"/>
              </w:rPr>
              <w:t>- Lưu: VT, CNXDKH.</w:t>
            </w:r>
          </w:p>
        </w:tc>
        <w:tc>
          <w:tcPr>
            <w:tcW w:w="4228" w:type="dxa"/>
          </w:tcPr>
          <w:p w:rsidR="00A350E0" w:rsidRDefault="005030E0">
            <w:pPr>
              <w:pStyle w:val="BodyTextIndent3"/>
              <w:spacing w:after="0" w:line="264" w:lineRule="auto"/>
              <w:ind w:left="0"/>
              <w:jc w:val="center"/>
              <w:rPr>
                <w:rFonts w:ascii="Times New Roman" w:hAnsi="Times New Roman"/>
                <w:b/>
                <w:color w:val="000000"/>
                <w:sz w:val="26"/>
                <w:szCs w:val="28"/>
              </w:rPr>
            </w:pPr>
            <w:r>
              <w:rPr>
                <w:rFonts w:ascii="Times New Roman" w:hAnsi="Times New Roman"/>
                <w:b/>
                <w:color w:val="000000"/>
                <w:sz w:val="26"/>
                <w:szCs w:val="28"/>
              </w:rPr>
              <w:t>KT. CHỦ TỊCH</w:t>
            </w:r>
          </w:p>
          <w:p w:rsidR="00A350E0" w:rsidRDefault="005030E0">
            <w:pPr>
              <w:pStyle w:val="BodyTextIndent3"/>
              <w:spacing w:after="0" w:line="264" w:lineRule="auto"/>
              <w:ind w:left="0"/>
              <w:jc w:val="center"/>
              <w:rPr>
                <w:rFonts w:ascii="Times New Roman" w:hAnsi="Times New Roman"/>
                <w:b/>
                <w:color w:val="000000"/>
                <w:sz w:val="26"/>
                <w:szCs w:val="28"/>
              </w:rPr>
            </w:pPr>
            <w:r>
              <w:rPr>
                <w:rFonts w:ascii="Times New Roman" w:hAnsi="Times New Roman"/>
                <w:b/>
                <w:color w:val="000000"/>
                <w:sz w:val="26"/>
                <w:szCs w:val="28"/>
              </w:rPr>
              <w:t>PHÓ CHỦ TỊCH</w:t>
            </w:r>
          </w:p>
          <w:p w:rsidR="00A350E0" w:rsidRDefault="00A350E0">
            <w:pPr>
              <w:spacing w:line="264" w:lineRule="auto"/>
              <w:jc w:val="center"/>
              <w:rPr>
                <w:b/>
                <w:color w:val="000000"/>
              </w:rPr>
            </w:pPr>
          </w:p>
          <w:p w:rsidR="00A350E0" w:rsidRDefault="00A350E0">
            <w:pPr>
              <w:spacing w:line="264" w:lineRule="auto"/>
              <w:jc w:val="center"/>
              <w:rPr>
                <w:b/>
                <w:color w:val="000000"/>
              </w:rPr>
            </w:pPr>
          </w:p>
          <w:p w:rsidR="00A350E0" w:rsidRDefault="00A350E0">
            <w:pPr>
              <w:spacing w:line="264" w:lineRule="auto"/>
              <w:jc w:val="center"/>
              <w:rPr>
                <w:b/>
                <w:color w:val="000000"/>
              </w:rPr>
            </w:pPr>
          </w:p>
          <w:p w:rsidR="00A350E0" w:rsidRDefault="00A350E0">
            <w:pPr>
              <w:spacing w:line="264" w:lineRule="auto"/>
              <w:jc w:val="center"/>
              <w:rPr>
                <w:b/>
                <w:color w:val="000000"/>
              </w:rPr>
            </w:pPr>
          </w:p>
          <w:p w:rsidR="00A350E0" w:rsidRDefault="00A350E0">
            <w:pPr>
              <w:spacing w:line="264" w:lineRule="auto"/>
              <w:jc w:val="center"/>
              <w:rPr>
                <w:b/>
                <w:color w:val="000000"/>
              </w:rPr>
            </w:pPr>
          </w:p>
          <w:p w:rsidR="00A350E0" w:rsidRDefault="005030E0">
            <w:pPr>
              <w:spacing w:line="264" w:lineRule="auto"/>
              <w:jc w:val="center"/>
              <w:rPr>
                <w:b/>
                <w:color w:val="000000"/>
              </w:rPr>
            </w:pPr>
            <w:r>
              <w:rPr>
                <w:b/>
                <w:color w:val="000000"/>
              </w:rPr>
              <w:t>Mai Xuân Liêm</w:t>
            </w:r>
          </w:p>
        </w:tc>
      </w:tr>
    </w:tbl>
    <w:p w:rsidR="00A350E0" w:rsidRDefault="00A350E0">
      <w:pPr>
        <w:pStyle w:val="BodyText2"/>
        <w:rPr>
          <w:rFonts w:ascii="Times New Roman" w:hAnsi="Times New Roman"/>
          <w:sz w:val="10"/>
          <w:szCs w:val="10"/>
        </w:rPr>
      </w:pPr>
    </w:p>
    <w:sectPr w:rsidR="00A350E0">
      <w:headerReference w:type="default" r:id="rId8"/>
      <w:footerReference w:type="even" r:id="rId9"/>
      <w:footerReference w:type="default" r:id="rId10"/>
      <w:pgSz w:w="11907" w:h="16840" w:code="9"/>
      <w:pgMar w:top="1134" w:right="1134" w:bottom="1134" w:left="1701" w:header="720" w:footer="720" w:gutter="0"/>
      <w:pgNumType w:start="1"/>
      <w:cols w:space="720"/>
      <w:titlePg/>
      <w:docGrid w:linePitch="29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30E0" w:rsidRDefault="005030E0">
      <w:r>
        <w:separator/>
      </w:r>
    </w:p>
  </w:endnote>
  <w:endnote w:type="continuationSeparator" w:id="0">
    <w:p w:rsidR="005030E0" w:rsidRDefault="005030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50E0" w:rsidRDefault="005030E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A350E0" w:rsidRDefault="00A350E0">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50E0" w:rsidRDefault="00A350E0">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30E0" w:rsidRDefault="005030E0">
      <w:r>
        <w:separator/>
      </w:r>
    </w:p>
  </w:footnote>
  <w:footnote w:type="continuationSeparator" w:id="0">
    <w:p w:rsidR="005030E0" w:rsidRDefault="005030E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6"/>
        <w:szCs w:val="26"/>
      </w:rPr>
      <w:id w:val="1134837826"/>
      <w:docPartObj>
        <w:docPartGallery w:val="Page Numbers (Top of Page)"/>
        <w:docPartUnique/>
      </w:docPartObj>
    </w:sdtPr>
    <w:sdtEndPr>
      <w:rPr>
        <w:noProof/>
      </w:rPr>
    </w:sdtEndPr>
    <w:sdtContent>
      <w:p w:rsidR="00A350E0" w:rsidRDefault="005030E0">
        <w:pPr>
          <w:pStyle w:val="Header"/>
          <w:jc w:val="center"/>
          <w:rPr>
            <w:sz w:val="26"/>
            <w:szCs w:val="26"/>
          </w:rPr>
        </w:pPr>
        <w:r>
          <w:rPr>
            <w:sz w:val="26"/>
            <w:szCs w:val="26"/>
          </w:rPr>
          <w:fldChar w:fldCharType="begin"/>
        </w:r>
        <w:r>
          <w:rPr>
            <w:sz w:val="26"/>
            <w:szCs w:val="26"/>
          </w:rPr>
          <w:instrText xml:space="preserve"> PAGE   \* MERGEFORMAT </w:instrText>
        </w:r>
        <w:r>
          <w:rPr>
            <w:sz w:val="26"/>
            <w:szCs w:val="26"/>
          </w:rPr>
          <w:fldChar w:fldCharType="separate"/>
        </w:r>
        <w:r w:rsidR="006B6FEE">
          <w:rPr>
            <w:noProof/>
            <w:sz w:val="26"/>
            <w:szCs w:val="26"/>
          </w:rPr>
          <w:t>3</w:t>
        </w:r>
        <w:r>
          <w:rPr>
            <w:noProof/>
            <w:sz w:val="26"/>
            <w:szCs w:val="26"/>
          </w:rP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C24373"/>
    <w:multiLevelType w:val="hybridMultilevel"/>
    <w:tmpl w:val="67A49EB6"/>
    <w:lvl w:ilvl="0" w:tplc="867E172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6C0D072F"/>
    <w:multiLevelType w:val="multilevel"/>
    <w:tmpl w:val="23AA87D6"/>
    <w:lvl w:ilvl="0">
      <w:start w:val="1"/>
      <w:numFmt w:val="decimal"/>
      <w:lvlText w:val="%1."/>
      <w:lvlJc w:val="left"/>
      <w:pPr>
        <w:tabs>
          <w:tab w:val="num" w:pos="720"/>
        </w:tabs>
        <w:ind w:left="720" w:hanging="360"/>
      </w:pPr>
      <w:rPr>
        <w:rFonts w:cs="Times New Roman" w:hint="default"/>
        <w:sz w:val="28"/>
        <w:szCs w:val="28"/>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67"/>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50E0"/>
    <w:rsid w:val="005030E0"/>
    <w:rsid w:val="006B6FEE"/>
    <w:rsid w:val="00A350E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05AF1FCC-DEEE-403F-97C6-8698F34821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8"/>
      <w:szCs w:val="28"/>
    </w:rPr>
  </w:style>
  <w:style w:type="paragraph" w:styleId="Heading1">
    <w:name w:val="heading 1"/>
    <w:basedOn w:val="Normal"/>
    <w:next w:val="Normal"/>
    <w:link w:val="Heading1Char"/>
    <w:uiPriority w:val="9"/>
    <w:qFormat/>
    <w:pPr>
      <w:keepNext/>
      <w:outlineLvl w:val="0"/>
    </w:pPr>
    <w:rPr>
      <w:b/>
      <w:color w:val="0000FF"/>
      <w:sz w:val="26"/>
      <w:szCs w:val="20"/>
    </w:rPr>
  </w:style>
  <w:style w:type="paragraph" w:styleId="Heading2">
    <w:name w:val="heading 2"/>
    <w:aliases w:val="BVI2,Heading 2-BVI,RepHead2,Title Header2,Clause_No&amp;Name,Section-Title,h2,Avsnitt,Tieu de 2,Tieude2 Char"/>
    <w:basedOn w:val="Normal"/>
    <w:next w:val="Normal"/>
    <w:link w:val="Heading2Char"/>
    <w:qFormat/>
    <w:pPr>
      <w:keepNext/>
      <w:spacing w:before="60" w:after="60"/>
      <w:ind w:firstLine="720"/>
      <w:outlineLvl w:val="1"/>
    </w:pPr>
    <w:rPr>
      <w:rFonts w:ascii=".VnTime" w:hAnsi=".VnTime"/>
      <w:i/>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tyle>
  <w:style w:type="paragraph" w:styleId="Footer">
    <w:name w:val="footer"/>
    <w:basedOn w:val="Normal"/>
    <w:link w:val="FooterChar"/>
    <w:pPr>
      <w:tabs>
        <w:tab w:val="center" w:pos="4320"/>
        <w:tab w:val="right" w:pos="8640"/>
      </w:tabs>
    </w:pPr>
    <w:rPr>
      <w:rFonts w:ascii=".VnTime" w:hAnsi=".VnTime"/>
      <w:szCs w:val="20"/>
    </w:rPr>
  </w:style>
  <w:style w:type="paragraph" w:customStyle="1" w:styleId="Char">
    <w:name w:val="Char"/>
    <w:autoRedefine/>
    <w:pPr>
      <w:tabs>
        <w:tab w:val="left" w:pos="1152"/>
      </w:tabs>
      <w:spacing w:before="120" w:after="120" w:line="312" w:lineRule="auto"/>
    </w:pPr>
    <w:rPr>
      <w:rFonts w:ascii="Arial" w:hAnsi="Arial"/>
      <w:sz w:val="2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
    <w:name w:val="Char Char Char Char"/>
    <w:basedOn w:val="Normal"/>
    <w:pPr>
      <w:spacing w:after="160" w:line="240" w:lineRule="exact"/>
    </w:pPr>
    <w:rPr>
      <w:rFonts w:ascii="Verdana" w:hAnsi="Verdana"/>
      <w:sz w:val="20"/>
      <w:szCs w:val="20"/>
    </w:rPr>
  </w:style>
  <w:style w:type="paragraph" w:customStyle="1" w:styleId="CharCharChar">
    <w:name w:val="Char Char Char"/>
    <w:basedOn w:val="Normal"/>
    <w:next w:val="Normal"/>
    <w:autoRedefine/>
    <w:semiHidden/>
    <w:pPr>
      <w:spacing w:before="120" w:after="120" w:line="312" w:lineRule="auto"/>
    </w:pPr>
  </w:style>
  <w:style w:type="paragraph" w:styleId="BalloonText">
    <w:name w:val="Balloon Text"/>
    <w:basedOn w:val="Normal"/>
    <w:link w:val="BalloonTextChar"/>
    <w:semiHidden/>
    <w:rPr>
      <w:rFonts w:ascii="Tahoma" w:hAnsi="Tahoma" w:cs="Tahoma"/>
      <w:sz w:val="16"/>
      <w:szCs w:val="16"/>
    </w:rPr>
  </w:style>
  <w:style w:type="character" w:customStyle="1" w:styleId="fontstyle01">
    <w:name w:val="fontstyle01"/>
    <w:rPr>
      <w:rFonts w:ascii="Times New Roman" w:hAnsi="Times New Roman" w:cs="Times New Roman" w:hint="default"/>
      <w:b w:val="0"/>
      <w:bCs w:val="0"/>
      <w:i w:val="0"/>
      <w:iCs w:val="0"/>
      <w:color w:val="000000"/>
      <w:sz w:val="28"/>
      <w:szCs w:val="28"/>
    </w:rPr>
  </w:style>
  <w:style w:type="character" w:styleId="CommentReference">
    <w:name w:val="annotation reference"/>
    <w:basedOn w:val="DefaultParagraphFont"/>
    <w:rPr>
      <w:sz w:val="16"/>
      <w:szCs w:val="16"/>
    </w:rPr>
  </w:style>
  <w:style w:type="paragraph" w:styleId="CommentText">
    <w:name w:val="annotation text"/>
    <w:basedOn w:val="Normal"/>
    <w:link w:val="CommentTextChar"/>
    <w:rPr>
      <w:sz w:val="20"/>
      <w:szCs w:val="20"/>
    </w:rPr>
  </w:style>
  <w:style w:type="character" w:customStyle="1" w:styleId="CommentTextChar">
    <w:name w:val="Comment Text Char"/>
    <w:basedOn w:val="DefaultParagraphFont"/>
    <w:link w:val="CommentText"/>
  </w:style>
  <w:style w:type="paragraph" w:styleId="CommentSubject">
    <w:name w:val="annotation subject"/>
    <w:basedOn w:val="CommentText"/>
    <w:next w:val="CommentText"/>
    <w:link w:val="CommentSubjectChar"/>
    <w:rPr>
      <w:b/>
      <w:bCs/>
    </w:rPr>
  </w:style>
  <w:style w:type="character" w:customStyle="1" w:styleId="CommentSubjectChar">
    <w:name w:val="Comment Subject Char"/>
    <w:basedOn w:val="CommentTextChar"/>
    <w:link w:val="CommentSubject"/>
    <w:rPr>
      <w:b/>
      <w:bCs/>
    </w:rPr>
  </w:style>
  <w:style w:type="paragraph" w:styleId="ListParagraph">
    <w:name w:val="List Paragraph"/>
    <w:basedOn w:val="Normal"/>
    <w:uiPriority w:val="34"/>
    <w:qFormat/>
    <w:pPr>
      <w:spacing w:after="160" w:line="259" w:lineRule="auto"/>
      <w:ind w:left="720"/>
    </w:pPr>
    <w:rPr>
      <w:rFonts w:ascii="Calibri" w:hAnsi="Calibri"/>
      <w:sz w:val="22"/>
      <w:szCs w:val="22"/>
    </w:rPr>
  </w:style>
  <w:style w:type="paragraph" w:styleId="NormalWeb">
    <w:name w:val="Normal (Web)"/>
    <w:basedOn w:val="Normal"/>
    <w:pPr>
      <w:spacing w:before="100" w:beforeAutospacing="1" w:after="100" w:afterAutospacing="1"/>
    </w:pPr>
    <w:rPr>
      <w:rFonts w:eastAsia="Calibri"/>
      <w:sz w:val="24"/>
      <w:szCs w:val="24"/>
    </w:rPr>
  </w:style>
  <w:style w:type="character" w:styleId="Strong">
    <w:name w:val="Strong"/>
    <w:basedOn w:val="DefaultParagraphFont"/>
    <w:qFormat/>
    <w:rPr>
      <w:b/>
      <w:bCs/>
    </w:rPr>
  </w:style>
  <w:style w:type="paragraph" w:customStyle="1" w:styleId="CharCharCharChar0">
    <w:name w:val="Char Char Char Char"/>
    <w:basedOn w:val="Normal"/>
    <w:pPr>
      <w:spacing w:after="160" w:line="240" w:lineRule="exact"/>
    </w:pPr>
    <w:rPr>
      <w:rFonts w:ascii="Verdana" w:hAnsi="Verdana"/>
      <w:sz w:val="20"/>
      <w:szCs w:val="20"/>
    </w:rPr>
  </w:style>
  <w:style w:type="character" w:customStyle="1" w:styleId="FooterChar">
    <w:name w:val="Footer Char"/>
    <w:basedOn w:val="DefaultParagraphFont"/>
    <w:link w:val="Footer"/>
    <w:rPr>
      <w:rFonts w:ascii=".VnTime" w:hAnsi=".VnTime"/>
      <w:sz w:val="28"/>
    </w:rPr>
  </w:style>
  <w:style w:type="character" w:customStyle="1" w:styleId="BalloonTextChar">
    <w:name w:val="Balloon Text Char"/>
    <w:basedOn w:val="DefaultParagraphFont"/>
    <w:link w:val="BalloonText"/>
    <w:semiHidden/>
    <w:rPr>
      <w:rFonts w:ascii="Tahoma" w:hAnsi="Tahoma" w:cs="Tahoma"/>
      <w:sz w:val="16"/>
      <w:szCs w:val="16"/>
    </w:rPr>
  </w:style>
  <w:style w:type="paragraph" w:styleId="Header">
    <w:name w:val="header"/>
    <w:basedOn w:val="Normal"/>
    <w:link w:val="HeaderChar"/>
    <w:uiPriority w:val="99"/>
    <w:pPr>
      <w:tabs>
        <w:tab w:val="center" w:pos="4680"/>
        <w:tab w:val="right" w:pos="9360"/>
      </w:tabs>
    </w:pPr>
  </w:style>
  <w:style w:type="character" w:customStyle="1" w:styleId="HeaderChar">
    <w:name w:val="Header Char"/>
    <w:basedOn w:val="DefaultParagraphFont"/>
    <w:link w:val="Header"/>
    <w:uiPriority w:val="99"/>
    <w:rPr>
      <w:sz w:val="28"/>
      <w:szCs w:val="28"/>
    </w:rPr>
  </w:style>
  <w:style w:type="character" w:customStyle="1" w:styleId="Heading2Char">
    <w:name w:val="Heading 2 Char"/>
    <w:aliases w:val="BVI2 Char,Heading 2-BVI Char,RepHead2 Char,Title Header2 Char,Clause_No&amp;Name Char,Section-Title Char,h2 Char,Avsnitt Char,Tieu de 2 Char,Tieude2 Char Char"/>
    <w:basedOn w:val="DefaultParagraphFont"/>
    <w:link w:val="Heading2"/>
    <w:rPr>
      <w:rFonts w:ascii=".VnTime" w:hAnsi=".VnTime"/>
      <w:i/>
      <w:sz w:val="28"/>
    </w:rPr>
  </w:style>
  <w:style w:type="paragraph" w:styleId="BodyTextIndent3">
    <w:name w:val="Body Text Indent 3"/>
    <w:basedOn w:val="Normal"/>
    <w:link w:val="BodyTextIndent3Char"/>
    <w:pPr>
      <w:spacing w:after="120"/>
      <w:ind w:left="360"/>
    </w:pPr>
    <w:rPr>
      <w:rFonts w:ascii=".VnTime" w:hAnsi=".VnTime"/>
      <w:sz w:val="16"/>
      <w:szCs w:val="16"/>
    </w:rPr>
  </w:style>
  <w:style w:type="character" w:customStyle="1" w:styleId="BodyTextIndent3Char">
    <w:name w:val="Body Text Indent 3 Char"/>
    <w:basedOn w:val="DefaultParagraphFont"/>
    <w:link w:val="BodyTextIndent3"/>
    <w:rPr>
      <w:rFonts w:ascii=".VnTime" w:hAnsi=".VnTime"/>
      <w:sz w:val="16"/>
      <w:szCs w:val="16"/>
    </w:rPr>
  </w:style>
  <w:style w:type="character" w:customStyle="1" w:styleId="Heading1Char">
    <w:name w:val="Heading 1 Char"/>
    <w:basedOn w:val="DefaultParagraphFont"/>
    <w:link w:val="Heading1"/>
    <w:uiPriority w:val="9"/>
    <w:rPr>
      <w:b/>
      <w:color w:val="0000FF"/>
      <w:sz w:val="26"/>
    </w:rPr>
  </w:style>
  <w:style w:type="paragraph" w:styleId="BodyText">
    <w:name w:val="Body Text"/>
    <w:basedOn w:val="Normal"/>
    <w:link w:val="BodyTextChar"/>
    <w:pPr>
      <w:jc w:val="both"/>
    </w:pPr>
    <w:rPr>
      <w:rFonts w:ascii=".VnTime" w:hAnsi=".VnTime"/>
      <w:szCs w:val="24"/>
    </w:rPr>
  </w:style>
  <w:style w:type="character" w:customStyle="1" w:styleId="BodyTextChar">
    <w:name w:val="Body Text Char"/>
    <w:basedOn w:val="DefaultParagraphFont"/>
    <w:link w:val="BodyText"/>
    <w:rPr>
      <w:rFonts w:ascii=".VnTime" w:hAnsi=".VnTime"/>
      <w:sz w:val="28"/>
      <w:szCs w:val="24"/>
    </w:rPr>
  </w:style>
  <w:style w:type="paragraph" w:styleId="BodyText2">
    <w:name w:val="Body Text 2"/>
    <w:basedOn w:val="Normal"/>
    <w:link w:val="BodyText2Char"/>
    <w:pPr>
      <w:jc w:val="both"/>
    </w:pPr>
    <w:rPr>
      <w:rFonts w:ascii=".VnTime" w:hAnsi=".VnTime"/>
      <w:szCs w:val="20"/>
    </w:rPr>
  </w:style>
  <w:style w:type="character" w:customStyle="1" w:styleId="BodyText2Char">
    <w:name w:val="Body Text 2 Char"/>
    <w:basedOn w:val="DefaultParagraphFont"/>
    <w:link w:val="BodyText2"/>
    <w:rPr>
      <w:rFonts w:ascii=".VnTime" w:hAnsi=".VnTime"/>
      <w:sz w:val="28"/>
    </w:rPr>
  </w:style>
  <w:style w:type="character" w:customStyle="1" w:styleId="citation-141">
    <w:name w:val="citation-141"/>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886555">
      <w:bodyDiv w:val="1"/>
      <w:marLeft w:val="0"/>
      <w:marRight w:val="0"/>
      <w:marTop w:val="0"/>
      <w:marBottom w:val="0"/>
      <w:divBdr>
        <w:top w:val="none" w:sz="0" w:space="0" w:color="auto"/>
        <w:left w:val="none" w:sz="0" w:space="0" w:color="auto"/>
        <w:bottom w:val="none" w:sz="0" w:space="0" w:color="auto"/>
        <w:right w:val="none" w:sz="0" w:space="0" w:color="auto"/>
      </w:divBdr>
    </w:div>
    <w:div w:id="314188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74A8C9-F643-408C-8127-FBC2EF836B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698</Words>
  <Characters>3982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UBND TỈNH THANH HOÁ                       Thanh Hoá, ngày 25 tháng 9  năm 2013</vt:lpstr>
    </vt:vector>
  </TitlesOfParts>
  <Company>UBTINH</Company>
  <LinksUpToDate>false</LinksUpToDate>
  <CharactersWithSpaces>4671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TỈNH THANH HOÁ                       Thanh Hoá, ngày 25 tháng 9  năm 2013</dc:title>
  <dc:creator>NGUYỄN HỒNG LĨNH</dc:creator>
  <cp:lastModifiedBy>Admin</cp:lastModifiedBy>
  <cp:revision>2</cp:revision>
  <cp:lastPrinted>2025-04-24T08:55:00Z</cp:lastPrinted>
  <dcterms:created xsi:type="dcterms:W3CDTF">2026-01-31T01:35:00Z</dcterms:created>
  <dcterms:modified xsi:type="dcterms:W3CDTF">2026-01-31T01:35:00Z</dcterms:modified>
</cp:coreProperties>
</file>